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0F172A"/>
          <w:sz w:val="40"/>
        </w:rPr>
        <w:t>VERWERKERSOVEREENKOMST (DPA)</w:t>
      </w:r>
    </w:p>
    <w:p>
      <w:pPr>
        <w:spacing w:after="400"/>
      </w:pPr>
      <w:r>
        <w:rPr>
          <w:rFonts w:ascii="Arial" w:hAnsi="Arial"/>
          <w:i/>
          <w:color w:val="64748B"/>
          <w:sz w:val="22"/>
        </w:rPr>
        <w:t>Conform Artikel 28 Algemene Verordening Gegevensbescherming (AVG / GDPR)</w:t>
      </w:r>
    </w:p>
    <w:p>
      <w:r>
        <w:rPr>
          <w:rFonts w:ascii="Arial" w:hAnsi="Arial"/>
          <w:b/>
          <w:color w:val="0F172A"/>
          <w:sz w:val="22"/>
        </w:rPr>
        <w:t>DE ONDERGETEKENDEN:</w:t>
      </w:r>
    </w:p>
    <w:p>
      <w:pPr>
        <w:ind w:left="288"/>
      </w:pPr>
      <w:r>
        <w:rPr>
          <w:b/>
        </w:rPr>
        <w:t xml:space="preserve">1. [Naam Organisatie / Consortiumleider], </w:t>
      </w:r>
      <w:r>
        <w:t>met maatschappelijke zetel te [Straat + Huisnummer, Postcode, Stad], ingeschreven onder ondernemingsnummer [KBO / KVK nummer], rechtsgeldig vertegenwoordigd door [Naam en Functie Ondertekenaar];</w:t>
        <w:br/>
      </w:r>
      <w:r>
        <w:rPr>
          <w:i/>
        </w:rPr>
        <w:t>Hierna genoemd de "Verwerkingsverantwoordelijke";</w:t>
        <w:br/>
      </w:r>
    </w:p>
    <w:p>
      <w:r>
        <w:rPr>
          <w:b/>
        </w:rPr>
        <w:t>EN</w:t>
      </w:r>
    </w:p>
    <w:p>
      <w:pPr>
        <w:ind w:left="288"/>
      </w:pPr>
      <w:r>
        <w:rPr>
          <w:b/>
        </w:rPr>
        <w:t xml:space="preserve">2. Push Forward, </w:t>
      </w:r>
      <w:r>
        <w:t>vertegenwoordigd door Tibo Van de Berck (contactadres privacy &amp; security: tibovandeberck@gmail.com, domein: pushforward.io);</w:t>
        <w:br/>
      </w:r>
      <w:r>
        <w:rPr>
          <w:i/>
        </w:rPr>
        <w:t>Hierna genoemd de "Verwerker";</w:t>
        <w:br/>
      </w:r>
    </w:p>
    <w:p>
      <w:pPr>
        <w:spacing w:after="280"/>
      </w:pPr>
      <w:r>
        <w:t>Hierna gezamenlijk aangeduid als de "Partijen" of individueel als een "Partij".</w:t>
        <w:br/>
      </w:r>
    </w:p>
    <w:p>
      <w:pPr>
        <w:spacing w:before="280" w:after="120"/>
      </w:pPr>
      <w:r>
        <w:rPr>
          <w:rFonts w:ascii="Arial" w:hAnsi="Arial"/>
          <w:b/>
          <w:color w:val="0F172A"/>
          <w:sz w:val="24"/>
        </w:rPr>
        <w:t>ARTIKEL 1 – TOEPASSINGSGEBIED EN VOORWERP</w:t>
      </w:r>
    </w:p>
    <w:p>
      <w:pPr>
        <w:spacing w:after="120" w:line="276" w:lineRule="auto"/>
      </w:pPr>
      <w:r>
        <w:t>1.1. Deze Verwerkersovereenkomst regelt de verwerking van persoonsgegevens door de Verwerker ten behoeve van de Verwerkingsverantwoordelijke in het kader van het gebruik van het softwareplatform Push Forward.</w:t>
      </w:r>
    </w:p>
    <w:p>
      <w:pPr>
        <w:spacing w:after="120" w:line="276" w:lineRule="auto"/>
      </w:pPr>
      <w:r>
        <w:t>1.2. Push Forward levert software voor autonome ecosysteemcoördinatie, collectieve intelligentie en strategische afstemming tussen onafhankelijke organisaties via o.a. agendasynchronisatie, frictiedetectie en notificaties.</w:t>
      </w:r>
    </w:p>
    <w:p>
      <w:pPr>
        <w:spacing w:after="120" w:line="276" w:lineRule="auto"/>
      </w:pPr>
      <w:r>
        <w:t>1.3. De Verwerker verwerkt de persoonsgegevens uitsluitend volgens de schriftelijke instructies van de Verwerkingsverantwoordelijke, behoudens afwijkende wettelijke verplichtingen.</w:t>
      </w:r>
    </w:p>
    <w:p>
      <w:pPr>
        <w:spacing w:before="280" w:after="120"/>
      </w:pPr>
      <w:r>
        <w:rPr>
          <w:rFonts w:ascii="Arial" w:hAnsi="Arial"/>
          <w:b/>
          <w:color w:val="0F172A"/>
          <w:sz w:val="24"/>
        </w:rPr>
        <w:t>ARTIKEL 2 – AARD, DOELEINDEN EN CATEGORIEËN VAN GEGEVENS</w:t>
      </w:r>
    </w:p>
    <w:p>
      <w:pPr>
        <w:spacing w:after="120" w:line="276" w:lineRule="auto"/>
      </w:pPr>
      <w:r>
        <w:t>2.1. Doeleinden van de verwerking:</w:t>
        <w:br/>
        <w:t>• Het analyseren van projectgerelateerde agenda-afspraken (iCal / .ics) voor strategische synergieën en deadlines.</w:t>
        <w:br/>
        <w:t>• Het routeren van wekelijkse briefings en actiepunten via beveiligde 1-klik links (zonder wachtwoordvereiste voor deelnemers).</w:t>
        <w:br/>
        <w:t>• Het signaleren van sluimerende fricties en het faciliteren van gedeelde besluitvorming binnen het ecosysteem.</w:t>
        <w:br/>
        <w:t>• Het on-demand raadplegen van gedeelde documenten via AI-ondersteunde zoek- en samenvattingsfuncties.</w:t>
      </w:r>
    </w:p>
    <w:p>
      <w:pPr>
        <w:spacing w:after="120" w:line="276" w:lineRule="auto"/>
      </w:pPr>
      <w:r>
        <w:t>2.2. Categorieën van betrokkenen:</w:t>
        <w:br/>
        <w:t>Medewerkers, projectleiders, consortiumpartners, externe adviseurs en bestuursleden van de deelnemende organisaties.</w:t>
      </w:r>
    </w:p>
    <w:p>
      <w:pPr>
        <w:spacing w:after="120" w:line="276" w:lineRule="auto"/>
      </w:pPr>
      <w:r>
        <w:t>2.3. Categorieën van persoonsgegevens:</w:t>
        <w:br/>
        <w:t>• Contact- en identificatiegegevens: naam, zakelijk e-mailadres, organisatienaam, rol binnen het ecosysteem.</w:t>
        <w:br/>
        <w:t>• Agendagegevens: titels, tijdstippen en deelnemers van projectafspraken uit gekoppelde feeds.</w:t>
        <w:br/>
        <w:t>• Platforminteracties: geregistreerde fricties, standpunten, antwoorden op actiepunten en auditlogboeken.</w:t>
      </w:r>
    </w:p>
    <w:p>
      <w:pPr>
        <w:spacing w:before="280" w:after="120"/>
      </w:pPr>
      <w:r>
        <w:rPr>
          <w:rFonts w:ascii="Arial" w:hAnsi="Arial"/>
          <w:b/>
          <w:color w:val="0F172A"/>
          <w:sz w:val="24"/>
        </w:rPr>
        <w:t>ARTIKEL 3 – VERPLICHTINGEN VAN DE VERWERKER</w:t>
      </w:r>
    </w:p>
    <w:p>
      <w:pPr>
        <w:spacing w:after="120" w:line="276" w:lineRule="auto"/>
      </w:pPr>
      <w:r>
        <w:t>3.1. De Verwerker verwerkt de gegevens uitsluitend conform de overeenkomst en stelt deze nooit ter beschikking aan derden voor commerciële doeleinden.</w:t>
      </w:r>
    </w:p>
    <w:p>
      <w:pPr>
        <w:spacing w:after="120" w:line="276" w:lineRule="auto"/>
      </w:pPr>
      <w:r>
        <w:t>3.2. Medewerkers en bevoegde personen die toegang hebben tot persoonsgegevens zijn gebonden aan een strikte contractuele of wettelijke geheimhoudingsplicht.</w:t>
      </w:r>
    </w:p>
    <w:p>
      <w:pPr>
        <w:spacing w:after="120" w:line="276" w:lineRule="auto"/>
      </w:pPr>
      <w:r>
        <w:t>3.3. De Verwerker biedt redelijke bijstand aan de Verwerkingsverantwoordelijke bij het beantwoorden van verzoeken van betrokkenen (zoals inzage, correctie of verwijdering) en eventuele DPIA's (Gegevensbeschermingseffectbeoordelingen).</w:t>
      </w:r>
    </w:p>
    <w:p>
      <w:pPr>
        <w:spacing w:before="280" w:after="120"/>
      </w:pPr>
      <w:r>
        <w:rPr>
          <w:rFonts w:ascii="Arial" w:hAnsi="Arial"/>
          <w:b/>
          <w:color w:val="0F172A"/>
          <w:sz w:val="24"/>
        </w:rPr>
        <w:t>ARTIKEL 4 – SUBVERWERKERS EN INFRASTRUCTUUR</w:t>
      </w:r>
    </w:p>
    <w:p>
      <w:pPr>
        <w:spacing w:after="120" w:line="276" w:lineRule="auto"/>
      </w:pPr>
      <w:r>
        <w:t>4.1. De Verwerkingsverantwoordelijke verleent hierbij algemene toestemming voor het inschakelen van betrouwbare infrastructuurpartners (subverwerkers).</w:t>
      </w:r>
    </w:p>
    <w:p>
      <w:pPr>
        <w:spacing w:after="120" w:line="276" w:lineRule="auto"/>
      </w:pPr>
      <w:r>
        <w:t>4.2. De huidige goedgekeurde subverwerkers zijn:</w:t>
        <w:br/>
        <w:t>• Cloud Datastorage &amp; RLS Engine: Lovable Cloud / PostgreSQL infrastructuur met fysieke hosting binnen de Europese Unie (EER).</w:t>
        <w:br/>
        <w:t>• E-mailinfrastructuur: Geautoriseerde mailservers geconfigureerd onder het geverifieerde domein notify.pushforward.io (met SPF, DKIM en DMARC).</w:t>
        <w:br/>
        <w:t>• AI Gateway: Modelaanbieders voor on-demand verwerking. Persoonsgegevens en geüploade documenten worden uitdrukkelijk niet gebruikt voor het trainen van publieke AI-modellen.</w:t>
      </w:r>
    </w:p>
    <w:p>
      <w:pPr>
        <w:spacing w:after="120" w:line="276" w:lineRule="auto"/>
      </w:pPr>
      <w:r>
        <w:t>4.3. De Verwerker zorgt ervoor dat subverwerkers minimaal aan gelijkwaardige verplichtingen worden gebonden als opgenomen in deze DPA.</w:t>
      </w:r>
    </w:p>
    <w:p>
      <w:pPr>
        <w:spacing w:before="280" w:after="120"/>
      </w:pPr>
      <w:r>
        <w:rPr>
          <w:rFonts w:ascii="Arial" w:hAnsi="Arial"/>
          <w:b/>
          <w:color w:val="0F172A"/>
          <w:sz w:val="24"/>
        </w:rPr>
        <w:t>ARTIKEL 5 – BEVEILIGINGSMAATREGELEN (SECURITY BY DESIGN)</w:t>
      </w:r>
    </w:p>
    <w:p>
      <w:pPr>
        <w:spacing w:after="120" w:line="276" w:lineRule="auto"/>
      </w:pPr>
      <w:r>
        <w:t>5.1. De Verwerker treft passende technische en organisatorische maatregelen om persoonsgegevens te beveiligen:</w:t>
        <w:br/>
        <w:t>• Strikte multi-tenant isolatie: Row-Level Security (RLS) op databaseniveau bewaakt dat organisaties uitsluitend data kunnen inzien van hun eigen geautoriseerde ecosystemen.</w:t>
        <w:br/>
        <w:t>• Encryptie: Alle gegevensoverdracht vindt plaats via TLS 1.3. API-koppelingen en geheime sleutels van partner-agents worden versleuteld opgeslagen met AES-GCM.</w:t>
        <w:br/>
        <w:t>• Zero-login respons-tokens: Verzoeken in de e-mailnotificaties maken gebruik van unieke, cryptografisch sterke tokens met beperkte geldigheidsduur en reikwijdte, waardoor partners geen kwetsbare wachtwoorden hoeven te beheren.</w:t>
        <w:br/>
        <w:t>• Minimale gegevensinname: Agendasynchronisatie filtert uitsluitend relevante projectafspraken; privégegevens of niet-relevante agenda's worden genegeerd.</w:t>
      </w:r>
    </w:p>
    <w:p>
      <w:pPr>
        <w:spacing w:before="280" w:after="120"/>
      </w:pPr>
      <w:r>
        <w:rPr>
          <w:rFonts w:ascii="Arial" w:hAnsi="Arial"/>
          <w:b/>
          <w:color w:val="0F172A"/>
          <w:sz w:val="24"/>
        </w:rPr>
        <w:t>ARTIKEL 6 – DATALEKKEN EN KENNISGEVING</w:t>
      </w:r>
    </w:p>
    <w:p>
      <w:pPr>
        <w:spacing w:after="120" w:line="276" w:lineRule="auto"/>
      </w:pPr>
      <w:r>
        <w:t>6.1. De Verwerker stelt de Verwerkingsverantwoordelijke zonder onredelijke vertraging, en in ieder geval binnen 48 uur na vaststelling van een inbreuk in verband met persoonsgegevens (datalek), op de hoogte via het opgegeven contactadres.</w:t>
      </w:r>
    </w:p>
    <w:p>
      <w:pPr>
        <w:spacing w:after="120" w:line="276" w:lineRule="auto"/>
      </w:pPr>
      <w:r>
        <w:t>6.2. De kennisgeving bevat minimaal de aard van de inbreuk, de getroffen categorieën gegevens, de vermoedelijke gevolgen en de reeds genomen maatregelen om de inbreuk te beperken.</w:t>
      </w:r>
    </w:p>
    <w:p>
      <w:pPr>
        <w:spacing w:before="280" w:after="120"/>
      </w:pPr>
      <w:r>
        <w:rPr>
          <w:rFonts w:ascii="Arial" w:hAnsi="Arial"/>
          <w:b/>
          <w:color w:val="0F172A"/>
          <w:sz w:val="24"/>
        </w:rPr>
        <w:t>ARTIKEL 7 – LOCATIE VAN GEGEVENSOPSLAG</w:t>
      </w:r>
    </w:p>
    <w:p>
      <w:pPr>
        <w:spacing w:after="120" w:line="276" w:lineRule="auto"/>
      </w:pPr>
      <w:r>
        <w:t>7.1. De primaire databases, back-ups en serverfuncties bevinden zich binnen de Europese Economische Ruimte (EER).</w:t>
      </w:r>
    </w:p>
    <w:p>
      <w:pPr>
        <w:spacing w:after="120" w:line="276" w:lineRule="auto"/>
      </w:pPr>
      <w:r>
        <w:t>7.2. Gegevens worden niet structureel doorgegeven aan landen buiten de EER tenzij passende waarborgen conform Hoofdstuk V van de AVG zijn getroffen.</w:t>
      </w:r>
    </w:p>
    <w:p>
      <w:pPr>
        <w:spacing w:before="280" w:after="120"/>
      </w:pPr>
      <w:r>
        <w:rPr>
          <w:rFonts w:ascii="Arial" w:hAnsi="Arial"/>
          <w:b/>
          <w:color w:val="0F172A"/>
          <w:sz w:val="24"/>
        </w:rPr>
        <w:t>ARTIKEL 8 – DUUR, BEËINDIGING EN TERUGGAVE VAN DATA</w:t>
      </w:r>
    </w:p>
    <w:p>
      <w:pPr>
        <w:spacing w:after="120" w:line="276" w:lineRule="auto"/>
      </w:pPr>
      <w:r>
        <w:t>8.1. Deze overeenkomst treedt in werking op de datum van ondertekening en duurt voort zolang de Verwerker persoonsgegevens verwerkt voor de Verwerkingsverantwoordelijke.</w:t>
      </w:r>
    </w:p>
    <w:p>
      <w:pPr>
        <w:spacing w:after="120" w:line="276" w:lineRule="auto"/>
      </w:pPr>
      <w:r>
        <w:t>8.2. Bij beëindiging van de samenwerking zal de Verwerker, naar keuze van de Verwerkingsverantwoordelijke, alle aanwezige persoonsgegevens binnen 30 dagen wissen of in een gestructureerd formaat (JSON / CSV) overdragen.</w:t>
      </w:r>
    </w:p>
    <w:p>
      <w:pPr>
        <w:spacing w:before="400"/>
      </w:pPr>
    </w:p>
    <w:p>
      <w:r>
        <w:rPr>
          <w:rFonts w:ascii="Arial" w:hAnsi="Arial"/>
          <w:b/>
          <w:color w:val="0F172A"/>
          <w:sz w:val="24"/>
        </w:rPr>
        <w:t>ONDERTEKENING EN AKKOORD</w:t>
      </w:r>
    </w:p>
    <w:p>
      <w:pPr>
        <w:spacing w:after="280"/>
      </w:pPr>
      <w:r>
        <w:t>Gedaan te ________________________, op ________________________ 2026, in twee originele exemplaren.</w:t>
      </w:r>
    </w:p>
    <w:tbl>
      <w:tblPr>
        <w:tblW w:type="auto" w:w="0"/>
        <w:jc w:val="center"/>
        <w:tblLayout w:type="fixed"/>
        <w:tblLook w:firstColumn="1" w:firstRow="1" w:lastColumn="0" w:lastRow="0" w:noHBand="0" w:noVBand="1" w:val="04A0"/>
      </w:tblPr>
      <w:tblGrid>
        <w:gridCol w:w="4680"/>
        <w:gridCol w:w="4680"/>
      </w:tblGrid>
      <w:tr>
        <w:tc>
          <w:tcPr>
            <w:tcW w:type="dxa" w:w="4608"/>
          </w:tcPr>
          <w:p>
            <w:r>
              <w:rPr>
                <w:b/>
              </w:rPr>
              <w:t>Voor de Verwerkingsverantwoordelijke:</w:t>
            </w:r>
          </w:p>
        </w:tc>
        <w:tc>
          <w:tcPr>
            <w:tcW w:type="dxa" w:w="4608"/>
          </w:tcPr>
          <w:p>
            <w:r>
              <w:rPr>
                <w:b/>
              </w:rPr>
              <w:t>Voor de Verwerker (Push Forward):</w:t>
            </w:r>
          </w:p>
        </w:tc>
      </w:tr>
      <w:tr>
        <w:tc>
          <w:tcPr>
            <w:tcW w:type="dxa" w:w="4608"/>
          </w:tcPr>
          <w:p>
            <w:r>
              <w:t>Organisatie: __________________________</w:t>
            </w:r>
          </w:p>
        </w:tc>
        <w:tc>
          <w:tcPr>
            <w:tcW w:type="dxa" w:w="4608"/>
          </w:tcPr>
          <w:p>
            <w:r>
              <w:t>Organisatie: Push Forward</w:t>
            </w:r>
          </w:p>
        </w:tc>
      </w:tr>
      <w:tr>
        <w:tc>
          <w:tcPr>
            <w:tcW w:type="dxa" w:w="4608"/>
          </w:tcPr>
          <w:p>
            <w:r>
              <w:t>Naam: _________________________________</w:t>
            </w:r>
          </w:p>
        </w:tc>
        <w:tc>
          <w:tcPr>
            <w:tcW w:type="dxa" w:w="4608"/>
          </w:tcPr>
          <w:p>
            <w:r>
              <w:t>Naam: Tibo Van de Berck</w:t>
            </w:r>
          </w:p>
        </w:tc>
      </w:tr>
      <w:tr>
        <w:tc>
          <w:tcPr>
            <w:tcW w:type="dxa" w:w="4608"/>
          </w:tcPr>
          <w:p>
            <w:r>
              <w:t>Functie: ______________________________</w:t>
            </w:r>
          </w:p>
        </w:tc>
        <w:tc>
          <w:tcPr>
            <w:tcW w:type="dxa" w:w="4608"/>
          </w:tcPr>
          <w:p>
            <w:r>
              <w:t>Functie: Oprichter / Zaakvoerder</w:t>
            </w:r>
          </w:p>
        </w:tc>
      </w:tr>
      <w:tr>
        <w:tc>
          <w:tcPr>
            <w:tcW w:type="dxa" w:w="4608"/>
          </w:tcPr>
          <w:p>
            <w:r>
              <w:t>Handtekening:</w:t>
              <w:br/>
              <w:br/>
              <w:br/>
              <w:t>______________________________________</w:t>
            </w:r>
          </w:p>
        </w:tc>
        <w:tc>
          <w:tcPr>
            <w:tcW w:type="dxa" w:w="4608"/>
          </w:tcPr>
          <w:p>
            <w:r>
              <w:t>Handtekening:</w:t>
              <w:br/>
              <w:br/>
              <w:br/>
              <w:t>______________________________________</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